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E925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0A2A15">
        <w:rPr>
          <w:rFonts w:ascii="Arial Narrow" w:hAnsi="Arial Narrow"/>
          <w:b/>
          <w:color w:val="2E74B5" w:themeColor="accent1" w:themeShade="BF"/>
        </w:rPr>
        <w:t>2</w:t>
      </w:r>
      <w:r w:rsidR="006D7C33">
        <w:rPr>
          <w:rFonts w:ascii="Arial Narrow" w:hAnsi="Arial Narrow"/>
          <w:b/>
          <w:color w:val="2E74B5" w:themeColor="accent1" w:themeShade="BF"/>
        </w:rPr>
        <w:t>5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C7220">
        <w:rPr>
          <w:rFonts w:ascii="Arial Narrow" w:hAnsi="Arial Narrow"/>
          <w:b/>
          <w:color w:val="2E74B5" w:themeColor="accent1" w:themeShade="BF"/>
        </w:rPr>
        <w:t>E</w:t>
      </w:r>
      <w:r w:rsidR="000A2A15">
        <w:rPr>
          <w:rFonts w:ascii="Arial Narrow" w:hAnsi="Arial Narrow"/>
          <w:b/>
          <w:color w:val="2E74B5" w:themeColor="accent1" w:themeShade="BF"/>
        </w:rPr>
        <w:t>kim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8E6B21" w:rsidP="00C41A1B">
      <w:pPr>
        <w:jc w:val="center"/>
        <w:rPr>
          <w:rFonts w:ascii="Tahoma" w:hAnsi="Tahoma" w:cs="Tahoma"/>
          <w:b/>
          <w:sz w:val="36"/>
        </w:rPr>
      </w:pPr>
      <w:r w:rsidRPr="008E6B21">
        <w:rPr>
          <w:rFonts w:ascii="Tahoma" w:hAnsi="Tahoma" w:cs="Tahoma"/>
          <w:b/>
          <w:sz w:val="36"/>
          <w:szCs w:val="36"/>
        </w:rPr>
        <w:t>TREDAŞ</w:t>
      </w:r>
      <w:r w:rsidR="007B6099">
        <w:rPr>
          <w:rFonts w:ascii="Tahoma" w:hAnsi="Tahoma" w:cs="Tahoma"/>
          <w:b/>
          <w:sz w:val="36"/>
          <w:szCs w:val="36"/>
        </w:rPr>
        <w:t>,</w:t>
      </w:r>
      <w:r w:rsidR="006D4915">
        <w:rPr>
          <w:rFonts w:ascii="Tahoma" w:hAnsi="Tahoma" w:cs="Tahoma"/>
          <w:b/>
          <w:sz w:val="36"/>
          <w:szCs w:val="36"/>
        </w:rPr>
        <w:t xml:space="preserve"> </w:t>
      </w:r>
      <w:r w:rsidR="001F62AE">
        <w:rPr>
          <w:rFonts w:ascii="Tahoma" w:hAnsi="Tahoma" w:cs="Tahoma"/>
          <w:b/>
          <w:sz w:val="36"/>
          <w:szCs w:val="36"/>
        </w:rPr>
        <w:t>KADINA</w:t>
      </w:r>
      <w:r w:rsidR="00313CEB">
        <w:rPr>
          <w:rFonts w:ascii="Tahoma" w:hAnsi="Tahoma" w:cs="Tahoma"/>
          <w:b/>
          <w:sz w:val="36"/>
          <w:szCs w:val="36"/>
        </w:rPr>
        <w:t xml:space="preserve"> ŞİDDETE KARŞI FARKINDALIK YOLCULU</w:t>
      </w:r>
      <w:r w:rsidR="001F62AE">
        <w:rPr>
          <w:rFonts w:ascii="Tahoma" w:hAnsi="Tahoma" w:cs="Tahoma"/>
          <w:b/>
          <w:sz w:val="36"/>
          <w:szCs w:val="36"/>
        </w:rPr>
        <w:t>ĞUNA DEVAM EDİYOR</w:t>
      </w:r>
    </w:p>
    <w:p w:rsidR="0029102B" w:rsidRDefault="001F62AE" w:rsidP="001F62AE">
      <w:pPr>
        <w:jc w:val="center"/>
        <w:rPr>
          <w:rFonts w:ascii="Tahoma" w:hAnsi="Tahoma" w:cs="Tahoma"/>
          <w:b/>
          <w:sz w:val="28"/>
          <w:szCs w:val="28"/>
        </w:rPr>
      </w:pPr>
      <w:r w:rsidRPr="001F62AE">
        <w:rPr>
          <w:rFonts w:ascii="Tahoma" w:hAnsi="Tahoma" w:cs="Tahoma"/>
          <w:b/>
          <w:sz w:val="28"/>
          <w:szCs w:val="28"/>
        </w:rPr>
        <w:t xml:space="preserve"> </w:t>
      </w:r>
      <w:r w:rsidR="009D3A76">
        <w:rPr>
          <w:rFonts w:ascii="Tahoma" w:hAnsi="Tahoma" w:cs="Tahoma"/>
          <w:b/>
          <w:sz w:val="28"/>
          <w:szCs w:val="28"/>
        </w:rPr>
        <w:t>TREDAŞ</w:t>
      </w:r>
      <w:r w:rsidR="00313CEB">
        <w:rPr>
          <w:rFonts w:ascii="Tahoma" w:hAnsi="Tahoma" w:cs="Tahoma"/>
          <w:b/>
          <w:sz w:val="28"/>
          <w:szCs w:val="28"/>
        </w:rPr>
        <w:t xml:space="preserve"> </w:t>
      </w:r>
      <w:r w:rsidRPr="001F62AE">
        <w:rPr>
          <w:rFonts w:ascii="Tahoma" w:hAnsi="Tahoma" w:cs="Tahoma"/>
          <w:b/>
          <w:sz w:val="28"/>
          <w:szCs w:val="28"/>
        </w:rPr>
        <w:t xml:space="preserve">“Çek Elini” diyerek şiddetin her türlüsüne karşı olduğunu daha etkin olarak ifade edebilmek için </w:t>
      </w:r>
      <w:r w:rsidR="00313CEB">
        <w:rPr>
          <w:rFonts w:ascii="Tahoma" w:hAnsi="Tahoma" w:cs="Tahoma"/>
          <w:b/>
          <w:sz w:val="28"/>
          <w:szCs w:val="28"/>
        </w:rPr>
        <w:t xml:space="preserve">Tekirdağ </w:t>
      </w:r>
      <w:r>
        <w:rPr>
          <w:rFonts w:ascii="Tahoma" w:hAnsi="Tahoma" w:cs="Tahoma"/>
          <w:b/>
          <w:sz w:val="28"/>
          <w:szCs w:val="28"/>
        </w:rPr>
        <w:t>ve Edirne’de</w:t>
      </w:r>
      <w:r w:rsidR="00313CEB">
        <w:rPr>
          <w:rFonts w:ascii="Tahoma" w:hAnsi="Tahoma" w:cs="Tahoma"/>
          <w:b/>
          <w:sz w:val="28"/>
          <w:szCs w:val="28"/>
        </w:rPr>
        <w:t xml:space="preserve"> </w:t>
      </w:r>
      <w:r w:rsidRPr="001F62AE">
        <w:rPr>
          <w:rFonts w:ascii="Tahoma" w:hAnsi="Tahoma" w:cs="Tahoma"/>
          <w:b/>
          <w:sz w:val="28"/>
          <w:szCs w:val="28"/>
        </w:rPr>
        <w:t>“Kadına Şiddete Karşı Farkındalık” semineri düzenledi.</w:t>
      </w:r>
    </w:p>
    <w:p w:rsidR="000A2A15" w:rsidRDefault="007F095E" w:rsidP="00F153F7">
      <w:pPr>
        <w:jc w:val="both"/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D57C8C">
        <w:rPr>
          <w:rFonts w:ascii="Tahoma" w:hAnsi="Tahoma" w:cs="Tahoma"/>
        </w:rPr>
        <w:t>,</w:t>
      </w:r>
      <w:r w:rsidR="0036741D">
        <w:rPr>
          <w:rFonts w:ascii="Tahoma" w:hAnsi="Tahoma" w:cs="Tahoma"/>
        </w:rPr>
        <w:t xml:space="preserve"> </w:t>
      </w:r>
      <w:r w:rsidR="000A2A15">
        <w:rPr>
          <w:rFonts w:ascii="Tahoma" w:hAnsi="Tahoma" w:cs="Tahoma"/>
        </w:rPr>
        <w:t>fır</w:t>
      </w:r>
      <w:bookmarkStart w:id="0" w:name="_GoBack"/>
      <w:bookmarkEnd w:id="0"/>
      <w:r w:rsidR="000A2A15">
        <w:rPr>
          <w:rFonts w:ascii="Tahoma" w:hAnsi="Tahoma" w:cs="Tahoma"/>
        </w:rPr>
        <w:t>sat eşitliği ve kadınların desteklenmesi amacıyla başlattığı “Uyumlu Eşitlik Güçlendirir” çalışmaları kapsamında “Çek Elini” diyerek şiddetin her türlüsüne karşı olduğunu daha etkin olarak ifade edebilmek için farkındalık yolculuğunu sürdürüyor.</w:t>
      </w:r>
    </w:p>
    <w:p w:rsidR="001F62AE" w:rsidRDefault="000A2A15" w:rsidP="001F62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 amaçla </w:t>
      </w:r>
      <w:r w:rsidR="001F62AE">
        <w:rPr>
          <w:rFonts w:ascii="Tahoma" w:hAnsi="Tahoma" w:cs="Tahoma"/>
        </w:rPr>
        <w:t xml:space="preserve">TREDAŞ, Türkiye Kadın Dernekleri Federasyonu Başkanı Canan </w:t>
      </w:r>
      <w:proofErr w:type="spellStart"/>
      <w:r w:rsidR="001F62AE">
        <w:rPr>
          <w:rFonts w:ascii="Tahoma" w:hAnsi="Tahoma" w:cs="Tahoma"/>
        </w:rPr>
        <w:t>Güllü’nün</w:t>
      </w:r>
      <w:proofErr w:type="spellEnd"/>
      <w:r w:rsidR="001F62AE">
        <w:rPr>
          <w:rFonts w:ascii="Tahoma" w:hAnsi="Tahoma" w:cs="Tahoma"/>
        </w:rPr>
        <w:t xml:space="preserve"> konuşmacı olarak yer aldığı </w:t>
      </w:r>
      <w:r>
        <w:rPr>
          <w:rFonts w:ascii="Tahoma" w:hAnsi="Tahoma" w:cs="Tahoma"/>
        </w:rPr>
        <w:t>“Kadına Şiddete Karşı Farkındalık” seminer</w:t>
      </w:r>
      <w:r w:rsidR="001F62AE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düzenledi. </w:t>
      </w:r>
    </w:p>
    <w:p w:rsidR="001F62AE" w:rsidRDefault="001F62AE" w:rsidP="001F62AE">
      <w:pPr>
        <w:jc w:val="both"/>
      </w:pPr>
      <w:r>
        <w:rPr>
          <w:rFonts w:ascii="Tahoma" w:hAnsi="Tahoma" w:cs="Tahoma"/>
        </w:rPr>
        <w:t xml:space="preserve">Hem Tekirdağ hem de Edirne’de düzenlenen seminerde </w:t>
      </w:r>
      <w:r w:rsidR="000A2A15">
        <w:rPr>
          <w:rFonts w:ascii="Tahoma" w:hAnsi="Tahoma" w:cs="Tahoma"/>
        </w:rPr>
        <w:t xml:space="preserve">Türkiye Kadın Dernekleri Federasyonu Başkanı </w:t>
      </w:r>
      <w:r>
        <w:rPr>
          <w:rFonts w:ascii="Tahoma" w:hAnsi="Tahoma" w:cs="Tahoma"/>
        </w:rPr>
        <w:t xml:space="preserve">Canan Güllü, katılımcılara </w:t>
      </w:r>
      <w:r w:rsidRPr="001F62AE">
        <w:rPr>
          <w:rFonts w:ascii="Tahoma" w:hAnsi="Tahoma" w:cs="Tahoma"/>
        </w:rPr>
        <w:t>aile içi şiddet</w:t>
      </w:r>
      <w:r>
        <w:rPr>
          <w:rFonts w:ascii="Tahoma" w:hAnsi="Tahoma" w:cs="Tahoma"/>
        </w:rPr>
        <w:t>,</w:t>
      </w:r>
      <w:r w:rsidRPr="001F62AE">
        <w:rPr>
          <w:rFonts w:ascii="Tahoma" w:hAnsi="Tahoma" w:cs="Tahoma"/>
        </w:rPr>
        <w:t xml:space="preserve"> fiziksel şiddet, sözel ve duygusal şiddet, sosyal şiddet, cin</w:t>
      </w:r>
      <w:r w:rsidR="003A758F">
        <w:rPr>
          <w:rFonts w:ascii="Tahoma" w:hAnsi="Tahoma" w:cs="Tahoma"/>
        </w:rPr>
        <w:t xml:space="preserve">sel şiddet </w:t>
      </w:r>
      <w:r>
        <w:rPr>
          <w:rFonts w:ascii="Tahoma" w:hAnsi="Tahoma" w:cs="Tahoma"/>
        </w:rPr>
        <w:t>ve</w:t>
      </w:r>
      <w:r w:rsidRPr="001F62AE">
        <w:rPr>
          <w:rFonts w:ascii="Tahoma" w:hAnsi="Tahoma" w:cs="Tahoma"/>
        </w:rPr>
        <w:t xml:space="preserve"> ekonomik şiddet konularında bilgiler aktardı.</w:t>
      </w:r>
      <w:r w:rsidRPr="001F62AE">
        <w:t xml:space="preserve"> </w:t>
      </w:r>
    </w:p>
    <w:p w:rsidR="001F62AE" w:rsidRDefault="001F62AE" w:rsidP="001F62AE">
      <w:pPr>
        <w:jc w:val="both"/>
        <w:rPr>
          <w:rFonts w:ascii="Tahoma" w:hAnsi="Tahoma" w:cs="Tahoma"/>
        </w:rPr>
      </w:pPr>
      <w:r w:rsidRPr="001F62AE">
        <w:rPr>
          <w:rFonts w:ascii="Tahoma" w:hAnsi="Tahoma" w:cs="Tahoma"/>
        </w:rPr>
        <w:t xml:space="preserve">Ayrıca, toplumda kadınlara yönelik şiddete </w:t>
      </w:r>
      <w:r>
        <w:rPr>
          <w:rFonts w:ascii="Tahoma" w:hAnsi="Tahoma" w:cs="Tahoma"/>
        </w:rPr>
        <w:t>ilişkin hizmet veren kuruluşları tanıttı, ş</w:t>
      </w:r>
      <w:r w:rsidRPr="001F62AE">
        <w:rPr>
          <w:rFonts w:ascii="Tahoma" w:hAnsi="Tahoma" w:cs="Tahoma"/>
        </w:rPr>
        <w:t>iddet gören kadınların arayabileceği numaralar hakkında bilgi verdi.</w:t>
      </w:r>
      <w:r>
        <w:rPr>
          <w:rFonts w:ascii="Tahoma" w:hAnsi="Tahoma" w:cs="Tahoma"/>
        </w:rPr>
        <w:t xml:space="preserve"> Yoğun bir katılımla gerçekleştirilen seminerler, karşılıklı soru cevabın ardında</w:t>
      </w:r>
      <w:r w:rsidR="00313CEB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sona erdi.</w:t>
      </w:r>
    </w:p>
    <w:p w:rsidR="001F62AE" w:rsidRDefault="001F62AE" w:rsidP="001F62AE">
      <w:pPr>
        <w:jc w:val="both"/>
        <w:rPr>
          <w:rFonts w:ascii="Tahoma" w:hAnsi="Tahoma" w:cs="Tahoma"/>
        </w:rPr>
      </w:pPr>
    </w:p>
    <w:p w:rsidR="004B0F81" w:rsidRDefault="007B6099" w:rsidP="007B60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4B0F81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EB" w:rsidRDefault="001D67EB" w:rsidP="00E40C11">
      <w:pPr>
        <w:spacing w:after="0" w:line="240" w:lineRule="auto"/>
      </w:pPr>
      <w:r>
        <w:separator/>
      </w:r>
    </w:p>
  </w:endnote>
  <w:endnote w:type="continuationSeparator" w:id="0">
    <w:p w:rsidR="001D67EB" w:rsidRDefault="001D67E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4AB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EB" w:rsidRDefault="001D67EB" w:rsidP="00E40C11">
      <w:pPr>
        <w:spacing w:after="0" w:line="240" w:lineRule="auto"/>
      </w:pPr>
      <w:r>
        <w:separator/>
      </w:r>
    </w:p>
  </w:footnote>
  <w:footnote w:type="continuationSeparator" w:id="0">
    <w:p w:rsidR="001D67EB" w:rsidRDefault="001D67E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83FE8"/>
    <w:rsid w:val="000A292A"/>
    <w:rsid w:val="000A2A15"/>
    <w:rsid w:val="000A420D"/>
    <w:rsid w:val="000A76CA"/>
    <w:rsid w:val="000B047D"/>
    <w:rsid w:val="000C0E57"/>
    <w:rsid w:val="000D3ED5"/>
    <w:rsid w:val="000D4B36"/>
    <w:rsid w:val="000E071A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1D67EB"/>
    <w:rsid w:val="001F62AE"/>
    <w:rsid w:val="00223242"/>
    <w:rsid w:val="00223401"/>
    <w:rsid w:val="00234EF5"/>
    <w:rsid w:val="00235BA3"/>
    <w:rsid w:val="00242EDF"/>
    <w:rsid w:val="00284619"/>
    <w:rsid w:val="00285045"/>
    <w:rsid w:val="0029102B"/>
    <w:rsid w:val="002B295D"/>
    <w:rsid w:val="002C3B6F"/>
    <w:rsid w:val="002D060C"/>
    <w:rsid w:val="002D4A62"/>
    <w:rsid w:val="002F0C38"/>
    <w:rsid w:val="002F3CA1"/>
    <w:rsid w:val="00313CEB"/>
    <w:rsid w:val="0033266D"/>
    <w:rsid w:val="00337C27"/>
    <w:rsid w:val="0034536E"/>
    <w:rsid w:val="00350573"/>
    <w:rsid w:val="00366861"/>
    <w:rsid w:val="0036741D"/>
    <w:rsid w:val="00385C8E"/>
    <w:rsid w:val="003A199C"/>
    <w:rsid w:val="003A2B6E"/>
    <w:rsid w:val="003A34F2"/>
    <w:rsid w:val="003A758F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B0F81"/>
    <w:rsid w:val="004D3A8A"/>
    <w:rsid w:val="004D6F66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606397"/>
    <w:rsid w:val="0061536F"/>
    <w:rsid w:val="00624969"/>
    <w:rsid w:val="0064760E"/>
    <w:rsid w:val="006731BA"/>
    <w:rsid w:val="00675B79"/>
    <w:rsid w:val="006814AB"/>
    <w:rsid w:val="006A2C65"/>
    <w:rsid w:val="006B0C32"/>
    <w:rsid w:val="006B65AA"/>
    <w:rsid w:val="006C2878"/>
    <w:rsid w:val="006D4915"/>
    <w:rsid w:val="006D7C33"/>
    <w:rsid w:val="006F6845"/>
    <w:rsid w:val="006F7ADB"/>
    <w:rsid w:val="00724BCC"/>
    <w:rsid w:val="0073397E"/>
    <w:rsid w:val="00735DDE"/>
    <w:rsid w:val="00755358"/>
    <w:rsid w:val="00755E30"/>
    <w:rsid w:val="00760325"/>
    <w:rsid w:val="00763E5E"/>
    <w:rsid w:val="00767AEE"/>
    <w:rsid w:val="00781F4C"/>
    <w:rsid w:val="00786261"/>
    <w:rsid w:val="00794205"/>
    <w:rsid w:val="007B6099"/>
    <w:rsid w:val="007B762E"/>
    <w:rsid w:val="007D196D"/>
    <w:rsid w:val="007E72CE"/>
    <w:rsid w:val="007F095E"/>
    <w:rsid w:val="007F55A0"/>
    <w:rsid w:val="00804DB1"/>
    <w:rsid w:val="008144A5"/>
    <w:rsid w:val="00840A63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28A6"/>
    <w:rsid w:val="008D497A"/>
    <w:rsid w:val="008E6B21"/>
    <w:rsid w:val="00910C83"/>
    <w:rsid w:val="0092117D"/>
    <w:rsid w:val="00922CBC"/>
    <w:rsid w:val="0093787C"/>
    <w:rsid w:val="00957A41"/>
    <w:rsid w:val="00971660"/>
    <w:rsid w:val="00971B6A"/>
    <w:rsid w:val="00976C0B"/>
    <w:rsid w:val="00981676"/>
    <w:rsid w:val="00982E13"/>
    <w:rsid w:val="00985C89"/>
    <w:rsid w:val="00987015"/>
    <w:rsid w:val="00996592"/>
    <w:rsid w:val="009A14DB"/>
    <w:rsid w:val="009A6D9A"/>
    <w:rsid w:val="009B6709"/>
    <w:rsid w:val="009D3A76"/>
    <w:rsid w:val="009D70CA"/>
    <w:rsid w:val="009F7101"/>
    <w:rsid w:val="00A1311C"/>
    <w:rsid w:val="00A208D4"/>
    <w:rsid w:val="00A34DA9"/>
    <w:rsid w:val="00A4420E"/>
    <w:rsid w:val="00A740AC"/>
    <w:rsid w:val="00A82DE6"/>
    <w:rsid w:val="00A91C0F"/>
    <w:rsid w:val="00AA070F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33A46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1E7E"/>
    <w:rsid w:val="00C62E8D"/>
    <w:rsid w:val="00C802B8"/>
    <w:rsid w:val="00C84F8E"/>
    <w:rsid w:val="00C922DB"/>
    <w:rsid w:val="00CA0068"/>
    <w:rsid w:val="00CA0810"/>
    <w:rsid w:val="00CA4D12"/>
    <w:rsid w:val="00CC7220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4CA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153F7"/>
    <w:rsid w:val="00F33552"/>
    <w:rsid w:val="00F42762"/>
    <w:rsid w:val="00F76DA4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1CF658-3E2E-4FA7-A737-0ADA21F2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 PERVANELİ</dc:creator>
  <cp:lastModifiedBy>Ergin Akgün</cp:lastModifiedBy>
  <cp:revision>5</cp:revision>
  <cp:lastPrinted>2017-12-12T08:16:00Z</cp:lastPrinted>
  <dcterms:created xsi:type="dcterms:W3CDTF">2018-10-25T08:31:00Z</dcterms:created>
  <dcterms:modified xsi:type="dcterms:W3CDTF">2018-10-25T08:41:00Z</dcterms:modified>
</cp:coreProperties>
</file>